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9E6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6"/>
          <w:szCs w:val="36"/>
          <w:bdr w:val="none" w:color="auto" w:sz="0" w:space="0"/>
          <w14:textFill>
            <w14:solidFill>
              <w14:schemeClr w14:val="tx1"/>
            </w14:solidFill>
          </w14:textFill>
        </w:rPr>
        <w:t>超声波萃取仪的操作步骤详解</w:t>
      </w:r>
      <w:bookmarkEnd w:id="0"/>
    </w:p>
    <w:p w14:paraId="20CF3D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超声波萃取仪的操作步骤可分为以下三个阶段：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E25C2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一、预处理阶段‌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1C2E5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‌1、仪器检查‌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D218D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确认电源连接正常，仪器无外部损伤，各部件(换能器、温控探头)安装牢固。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8EC67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清洁钢槽并注入1/3~1/2容积的冷水作为超声传导介质，水面需高于样品容器内物料高度。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5D4D7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‌2、样品与溶剂准备‌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CDC10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固体样品需粉碎过筛，液体样品需过滤去除杂质。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BDC0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按比例加入萃取溶剂，确保完全浸没样品，液固比通常为10:1~30:1。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DA32A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二、核心操作阶段‌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56BD3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‌1、参数设置‌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3387C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‌时间‌：通过面板设置超声时间，复杂样品可分段脉冲处理。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66F80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‌功率‌：依样品性质调节，易降解物质需降低功率。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79E5D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‌温度‌：对热敏性成分开启冰浴或外接循环冷却系统，保持温度≤40℃。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C8C59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‌2、启动超声‌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154EF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将样品容器垂直置入钢槽介质中，避免接触槽底或侧壁。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4D5AF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按下启动键(ON/OFF)，观察空化现象(液体中出现密集气泡)确认运行正常。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C618A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‌3、过程监控‌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72566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连续超声不超过15分钟，间歇停止冷却以防介质过热(水温&gt;60℃需暂停)。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61853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黏稠样品需中途摇晃容器促进均匀分散。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4BFE6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三、后处理阶段‌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39631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‌1、终止与分离‌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0BCFC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时间结束后自动停机，关闭电源，用镊子取出样品容器。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E6E51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离心(4000rpm, 5min)或静置分层，收集上清液。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EA98E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‌2、纯化与回收‌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72AE3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合并多次萃取液，通过旋转蒸发仪回收溶剂(如乙醇)。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97386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采用固相萃取柱(如HLB)进一步纯化目标成分。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56F8E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‌3、仪器维护‌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11706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立即倒空钢槽介质并擦干，用软布清洁换能器表面残留物。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4D1E0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每月检查散热系统，更换老化密封圈。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5919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四、关键注意事项‌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2C12F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‌1、安全防护‌：操作时需佩戴护目镜及防溶剂手套，易燃溶剂禁用明火环境。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1189C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‌2、防乳化‌：若两相分层困难，可添加氯化钠或短时离心破乳。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07F0C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‌3、特殊样本‌：微生物细胞破碎需结合蛋白酶预处理，避免过度超声导致DNA断裂。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FE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2025-09-24T03:34:24Z</dcterms:created>
  <dc:creator>Mt</dc:creator>
  <cp:lastModifiedBy>制药网阳阳</cp:lastModifiedBy>
  <dcterms:modified xsi:type="dcterms:W3CDTF">2025-09-24T03:34:47Z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EEF194B373AC4FA8B7B27F1CC1903914_12</vt:lpwstr>
  </property>
</Properties>
</file>